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12" w:rsidRPr="00320430" w:rsidRDefault="006A5D12" w:rsidP="006A5D12">
      <w:pPr>
        <w:spacing w:after="0"/>
        <w:jc w:val="center"/>
        <w:rPr>
          <w:rFonts w:ascii="Calibri" w:hAnsi="Calibri"/>
          <w:b/>
          <w:i/>
          <w:sz w:val="36"/>
          <w:szCs w:val="36"/>
          <w:u w:val="single"/>
        </w:rPr>
      </w:pPr>
      <w:r w:rsidRPr="00320430">
        <w:rPr>
          <w:rFonts w:ascii="Calibri" w:hAnsi="Calibri"/>
          <w:b/>
          <w:i/>
          <w:sz w:val="52"/>
          <w:szCs w:val="52"/>
          <w:u w:val="single"/>
        </w:rPr>
        <w:t>M</w:t>
      </w:r>
      <w:r w:rsidRPr="00320430">
        <w:rPr>
          <w:rFonts w:ascii="Calibri" w:hAnsi="Calibri"/>
          <w:b/>
          <w:i/>
          <w:sz w:val="36"/>
          <w:szCs w:val="36"/>
          <w:u w:val="single"/>
        </w:rPr>
        <w:t xml:space="preserve">EADOWS </w:t>
      </w:r>
      <w:r w:rsidRPr="00320430">
        <w:rPr>
          <w:rFonts w:ascii="Calibri" w:hAnsi="Calibri"/>
          <w:b/>
          <w:i/>
          <w:sz w:val="52"/>
          <w:szCs w:val="52"/>
          <w:u w:val="single"/>
        </w:rPr>
        <w:t>V</w:t>
      </w:r>
      <w:r w:rsidRPr="00320430">
        <w:rPr>
          <w:rFonts w:ascii="Calibri" w:hAnsi="Calibri"/>
          <w:b/>
          <w:i/>
          <w:sz w:val="36"/>
          <w:szCs w:val="36"/>
          <w:u w:val="single"/>
        </w:rPr>
        <w:t xml:space="preserve">ALLEY </w:t>
      </w:r>
      <w:r w:rsidRPr="00320430">
        <w:rPr>
          <w:rFonts w:ascii="Calibri" w:hAnsi="Calibri"/>
          <w:b/>
          <w:i/>
          <w:sz w:val="52"/>
          <w:szCs w:val="52"/>
          <w:u w:val="single"/>
        </w:rPr>
        <w:t>S</w:t>
      </w:r>
      <w:r w:rsidRPr="00320430">
        <w:rPr>
          <w:rFonts w:ascii="Calibri" w:hAnsi="Calibri"/>
          <w:b/>
          <w:i/>
          <w:sz w:val="36"/>
          <w:szCs w:val="36"/>
          <w:u w:val="single"/>
        </w:rPr>
        <w:t xml:space="preserve">CHOOL </w:t>
      </w:r>
      <w:r w:rsidRPr="00320430">
        <w:rPr>
          <w:rFonts w:ascii="Calibri" w:hAnsi="Calibri"/>
          <w:b/>
          <w:i/>
          <w:sz w:val="52"/>
          <w:szCs w:val="52"/>
          <w:u w:val="single"/>
        </w:rPr>
        <w:t>D</w:t>
      </w:r>
      <w:r w:rsidRPr="00320430">
        <w:rPr>
          <w:rFonts w:ascii="Calibri" w:hAnsi="Calibri"/>
          <w:b/>
          <w:i/>
          <w:sz w:val="36"/>
          <w:szCs w:val="36"/>
          <w:u w:val="single"/>
        </w:rPr>
        <w:t>ISTRICT #11</w:t>
      </w:r>
    </w:p>
    <w:p w:rsidR="006A5D12" w:rsidRPr="00E13E84" w:rsidRDefault="006A5D12" w:rsidP="006A5D12">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Pr>
          <w:rFonts w:ascii="Century Gothic" w:hAnsi="Century Gothic"/>
          <w:b/>
          <w:sz w:val="24"/>
          <w:szCs w:val="24"/>
        </w:rPr>
        <w:t xml:space="preserve"> AND ANNUAL REPORTING</w:t>
      </w:r>
      <w:r w:rsidRPr="003B58C7">
        <w:rPr>
          <w:rFonts w:ascii="Century Gothic" w:hAnsi="Century Gothic"/>
          <w:b/>
          <w:sz w:val="32"/>
          <w:szCs w:val="32"/>
        </w:rPr>
        <w:br/>
      </w:r>
      <w:r w:rsidRPr="00E13E84">
        <w:rPr>
          <w:rFonts w:ascii="Century Gothic" w:hAnsi="Century Gothic"/>
          <w:b/>
        </w:rPr>
        <w:t>201</w:t>
      </w:r>
      <w:r>
        <w:rPr>
          <w:rFonts w:ascii="Century Gothic" w:hAnsi="Century Gothic"/>
          <w:b/>
        </w:rPr>
        <w:t>7</w:t>
      </w:r>
      <w:r w:rsidRPr="00E13E84">
        <w:rPr>
          <w:rFonts w:ascii="Century Gothic" w:hAnsi="Century Gothic"/>
          <w:b/>
        </w:rPr>
        <w:t xml:space="preserve"> – 201</w:t>
      </w:r>
      <w:r>
        <w:rPr>
          <w:rFonts w:ascii="Century Gothic" w:hAnsi="Century Gothic"/>
          <w:b/>
        </w:rPr>
        <w:t>8</w:t>
      </w:r>
    </w:p>
    <w:p w:rsidR="006A5D12" w:rsidRPr="00C7175F" w:rsidRDefault="006A5D12" w:rsidP="006A5D12">
      <w:pPr>
        <w:spacing w:after="0"/>
        <w:jc w:val="both"/>
        <w:rPr>
          <w:rFonts w:ascii="Calibri" w:hAnsi="Calibri"/>
          <w:b/>
          <w:i/>
          <w:sz w:val="20"/>
          <w:szCs w:val="20"/>
          <w:u w:val="single"/>
        </w:rPr>
      </w:pPr>
      <w:r w:rsidRPr="00C7175F">
        <w:rPr>
          <w:rFonts w:ascii="Calibri" w:hAnsi="Calibri"/>
          <w:b/>
          <w:i/>
          <w:sz w:val="20"/>
          <w:szCs w:val="20"/>
          <w:u w:val="single"/>
        </w:rPr>
        <w:t>Our MISSION STATEMENT:</w:t>
      </w:r>
    </w:p>
    <w:p w:rsidR="006A5D12" w:rsidRPr="00C7175F" w:rsidRDefault="006A5D12" w:rsidP="006A5D12">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Mission of the Meadows Valley School District is to offer a safe, welcoming and intellectually stimulating educational community in which teachers are committed to promoting the success of each student; students are consistently challenged and empowered in their pursuit of significant achievement and educational advancement while also maintaining mutual respect for one another and a genuine partnership with the surrounding community.</w:t>
      </w:r>
    </w:p>
    <w:p w:rsidR="006A5D12" w:rsidRPr="00C7175F" w:rsidRDefault="006A5D12" w:rsidP="006A5D12">
      <w:pPr>
        <w:spacing w:after="0" w:line="240" w:lineRule="auto"/>
        <w:jc w:val="both"/>
        <w:rPr>
          <w:rFonts w:ascii="Calibri" w:eastAsia="Times New Roman" w:hAnsi="Calibri" w:cs="Times New Roman"/>
          <w:b/>
          <w:bCs/>
          <w:i/>
          <w:color w:val="000000"/>
          <w:sz w:val="20"/>
          <w:szCs w:val="20"/>
          <w:u w:val="single"/>
        </w:rPr>
      </w:pPr>
    </w:p>
    <w:p w:rsidR="006A5D12" w:rsidRPr="00C7175F" w:rsidRDefault="006A5D12" w:rsidP="006A5D12">
      <w:pPr>
        <w:spacing w:after="0" w:line="240" w:lineRule="auto"/>
        <w:jc w:val="both"/>
        <w:rPr>
          <w:rFonts w:ascii="Calibri" w:eastAsia="Times New Roman" w:hAnsi="Calibri" w:cs="Times New Roman"/>
          <w:b/>
          <w:bCs/>
          <w:i/>
          <w:color w:val="000000"/>
          <w:sz w:val="20"/>
          <w:szCs w:val="20"/>
          <w:u w:val="single"/>
        </w:rPr>
      </w:pPr>
      <w:r w:rsidRPr="00C7175F">
        <w:rPr>
          <w:rFonts w:ascii="Calibri" w:eastAsia="Times New Roman" w:hAnsi="Calibri" w:cs="Times New Roman"/>
          <w:b/>
          <w:bCs/>
          <w:i/>
          <w:color w:val="000000"/>
          <w:sz w:val="20"/>
          <w:szCs w:val="20"/>
          <w:u w:val="single"/>
        </w:rPr>
        <w:t>Our VISION STATEMENT:</w:t>
      </w:r>
    </w:p>
    <w:p w:rsidR="006A5D12" w:rsidRDefault="006A5D12" w:rsidP="006A5D12">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Vision of the Meadows Valley Public School District is to prepare all students for life's requirements, adventures and challenges.</w:t>
      </w:r>
    </w:p>
    <w:p w:rsidR="00F8795A" w:rsidRDefault="00F8795A" w:rsidP="006A5D12">
      <w:pPr>
        <w:spacing w:after="0" w:line="240" w:lineRule="auto"/>
        <w:jc w:val="both"/>
        <w:rPr>
          <w:rFonts w:ascii="Calibri" w:eastAsia="Times New Roman" w:hAnsi="Calibri" w:cs="Times New Roman"/>
          <w:bCs/>
          <w:i/>
          <w:color w:val="000000"/>
          <w:sz w:val="20"/>
          <w:szCs w:val="20"/>
        </w:rPr>
      </w:pPr>
    </w:p>
    <w:p w:rsidR="00F8795A" w:rsidRPr="00F8795A" w:rsidRDefault="00F8795A" w:rsidP="00F8795A">
      <w:pPr>
        <w:rPr>
          <w:i/>
          <w:sz w:val="20"/>
          <w:szCs w:val="20"/>
        </w:rPr>
      </w:pPr>
      <w:r w:rsidRPr="00F8795A">
        <w:rPr>
          <w:i/>
          <w:sz w:val="20"/>
          <w:szCs w:val="20"/>
        </w:rPr>
        <w:t xml:space="preserve">The staff at Meadows Valley reach out to the community through the automated school progress reporting program.  Additionally, live contact is maintained through daytime and evening activities.  There are several community groups that reserve the school facility on a regular weekly schedule for local meetings and adult basketball, Central Idaho </w:t>
      </w:r>
      <w:proofErr w:type="spellStart"/>
      <w:r w:rsidRPr="00F8795A">
        <w:rPr>
          <w:i/>
          <w:sz w:val="20"/>
          <w:szCs w:val="20"/>
        </w:rPr>
        <w:t>pickleball</w:t>
      </w:r>
      <w:proofErr w:type="spellEnd"/>
      <w:r w:rsidRPr="00F8795A">
        <w:rPr>
          <w:i/>
          <w:sz w:val="20"/>
          <w:szCs w:val="20"/>
        </w:rPr>
        <w:t xml:space="preserve"> and weightlifting activities.  These times give opportunity for school staff to ‘mingle’ with community members.</w:t>
      </w:r>
    </w:p>
    <w:p w:rsidR="00F8795A" w:rsidRPr="00F8795A" w:rsidRDefault="00F8795A" w:rsidP="00F8795A">
      <w:pPr>
        <w:spacing w:after="0" w:line="240" w:lineRule="auto"/>
        <w:rPr>
          <w:rFonts w:eastAsia="Times New Roman" w:cs="Times New Roman"/>
          <w:i/>
          <w:sz w:val="20"/>
          <w:szCs w:val="20"/>
        </w:rPr>
      </w:pPr>
      <w:r w:rsidRPr="00F8795A">
        <w:rPr>
          <w:rFonts w:eastAsia="Times New Roman" w:cs="Times New Roman"/>
          <w:i/>
          <w:sz w:val="20"/>
          <w:szCs w:val="20"/>
        </w:rPr>
        <w:t xml:space="preserve">Our stakeholders (including staff, board members, teachers, parents, students and patrons) have participated in reviewing key indicators, results and reflecting on future targets.  Staff, students, parents </w:t>
      </w:r>
      <w:r w:rsidR="0056281C">
        <w:rPr>
          <w:rFonts w:eastAsia="Times New Roman" w:cs="Times New Roman"/>
          <w:i/>
          <w:sz w:val="20"/>
          <w:szCs w:val="20"/>
        </w:rPr>
        <w:t xml:space="preserve">and </w:t>
      </w:r>
      <w:r w:rsidRPr="00F8795A">
        <w:rPr>
          <w:rFonts w:eastAsia="Times New Roman" w:cs="Times New Roman"/>
          <w:i/>
          <w:sz w:val="20"/>
          <w:szCs w:val="20"/>
        </w:rPr>
        <w:t>visi</w:t>
      </w:r>
      <w:r w:rsidR="0056281C">
        <w:rPr>
          <w:rFonts w:eastAsia="Times New Roman" w:cs="Times New Roman"/>
          <w:i/>
          <w:sz w:val="20"/>
          <w:szCs w:val="20"/>
        </w:rPr>
        <w:t xml:space="preserve">tors to the school site are </w:t>
      </w:r>
      <w:r w:rsidRPr="00F8795A">
        <w:rPr>
          <w:rFonts w:eastAsia="Times New Roman" w:cs="Times New Roman"/>
          <w:i/>
          <w:sz w:val="20"/>
          <w:szCs w:val="20"/>
        </w:rPr>
        <w:t xml:space="preserve">respectful of the school and the environment of the district.  It is a positive relationship.  </w:t>
      </w:r>
    </w:p>
    <w:p w:rsidR="00F8795A" w:rsidRPr="00F8795A" w:rsidRDefault="00F8795A" w:rsidP="00F8795A">
      <w:pPr>
        <w:spacing w:after="0" w:line="240" w:lineRule="auto"/>
        <w:rPr>
          <w:rFonts w:eastAsia="Times New Roman" w:cs="Times New Roman"/>
          <w:i/>
          <w:sz w:val="20"/>
          <w:szCs w:val="20"/>
        </w:rPr>
      </w:pPr>
    </w:p>
    <w:p w:rsidR="00F8795A" w:rsidRPr="00F8795A" w:rsidRDefault="00F8795A" w:rsidP="00F8795A">
      <w:pPr>
        <w:spacing w:after="0" w:line="240" w:lineRule="auto"/>
        <w:rPr>
          <w:rFonts w:eastAsia="Times New Roman" w:cs="Times New Roman"/>
          <w:i/>
          <w:sz w:val="20"/>
          <w:szCs w:val="20"/>
        </w:rPr>
      </w:pPr>
      <w:r w:rsidRPr="00F8795A">
        <w:rPr>
          <w:rFonts w:eastAsia="Times New Roman" w:cs="Times New Roman"/>
          <w:i/>
          <w:sz w:val="20"/>
          <w:szCs w:val="20"/>
        </w:rPr>
        <w:t>At Parent-Teacher Conferences, held after the first quarter and the third quarter of the school year, we have moved to ‘student-led’ conferences.  Parental attendance is nearly 100% at the elementary level.  Secondary levels are a bit lower.  This is a good time for opinion surveys to be distributed to solicit information.  It is a good time to have students fill out the appropriate surveys, as well.</w:t>
      </w:r>
    </w:p>
    <w:p w:rsidR="00F8795A" w:rsidRPr="00F8795A" w:rsidRDefault="00F8795A" w:rsidP="00F8795A">
      <w:pPr>
        <w:spacing w:after="0" w:line="240" w:lineRule="auto"/>
        <w:rPr>
          <w:rFonts w:cs="Times New Roman"/>
          <w:i/>
          <w:sz w:val="20"/>
          <w:szCs w:val="20"/>
        </w:rPr>
      </w:pPr>
    </w:p>
    <w:p w:rsidR="00F8795A" w:rsidRPr="00F8795A" w:rsidRDefault="00F8795A" w:rsidP="00F8795A">
      <w:pPr>
        <w:spacing w:after="0" w:line="240" w:lineRule="auto"/>
        <w:rPr>
          <w:rFonts w:eastAsia="Times New Roman" w:cs="Times New Roman"/>
          <w:i/>
          <w:sz w:val="20"/>
          <w:szCs w:val="20"/>
        </w:rPr>
      </w:pPr>
      <w:r w:rsidRPr="00F8795A">
        <w:rPr>
          <w:rFonts w:cs="Times New Roman"/>
          <w:i/>
          <w:sz w:val="20"/>
          <w:szCs w:val="20"/>
        </w:rPr>
        <w:t>FEN, Family Engagement Nights, are scheduled monthly this year.  They are intended to familiarize parents with Mastery-Based Learning and provide a time for learners to demonstrate their understanding of content</w:t>
      </w:r>
      <w:r w:rsidR="0056281C">
        <w:rPr>
          <w:rFonts w:cs="Times New Roman"/>
          <w:i/>
          <w:sz w:val="20"/>
          <w:szCs w:val="20"/>
        </w:rPr>
        <w:t>.</w:t>
      </w:r>
      <w:bookmarkStart w:id="0" w:name="_GoBack"/>
      <w:bookmarkEnd w:id="0"/>
    </w:p>
    <w:p w:rsidR="006A5D12" w:rsidRPr="00C73C87" w:rsidRDefault="006A5D12" w:rsidP="006A5D12">
      <w:pPr>
        <w:spacing w:after="0" w:line="240" w:lineRule="auto"/>
        <w:rPr>
          <w:rFonts w:ascii="Arial" w:hAnsi="Arial" w:cs="Arial"/>
          <w:b/>
          <w:i/>
          <w:sz w:val="19"/>
          <w:szCs w:val="19"/>
        </w:rPr>
      </w:pPr>
    </w:p>
    <w:p w:rsidR="006A5D12" w:rsidRPr="00C73C87" w:rsidRDefault="006A5D12" w:rsidP="006A5D12">
      <w:pPr>
        <w:spacing w:after="0" w:line="240" w:lineRule="auto"/>
        <w:ind w:left="-360" w:right="-810"/>
        <w:jc w:val="both"/>
        <w:rPr>
          <w:rFonts w:ascii="Arial" w:hAnsi="Arial" w:cs="Arial"/>
          <w:i/>
          <w:sz w:val="19"/>
          <w:szCs w:val="19"/>
        </w:rPr>
      </w:pPr>
    </w:p>
    <w:tbl>
      <w:tblPr>
        <w:tblStyle w:val="TableGrid1"/>
        <w:tblW w:w="10620" w:type="dxa"/>
        <w:tblInd w:w="-455" w:type="dxa"/>
        <w:tblLook w:val="04A0" w:firstRow="1" w:lastRow="0" w:firstColumn="1" w:lastColumn="0" w:noHBand="0" w:noVBand="1"/>
      </w:tblPr>
      <w:tblGrid>
        <w:gridCol w:w="2550"/>
        <w:gridCol w:w="3030"/>
        <w:gridCol w:w="990"/>
        <w:gridCol w:w="967"/>
        <w:gridCol w:w="1472"/>
        <w:gridCol w:w="1611"/>
      </w:tblGrid>
      <w:tr w:rsidR="006A5D12" w:rsidRPr="00C73C87" w:rsidTr="00101380">
        <w:tc>
          <w:tcPr>
            <w:tcW w:w="2550" w:type="dxa"/>
            <w:shd w:val="clear" w:color="auto" w:fill="000066"/>
            <w:vAlign w:val="center"/>
          </w:tcPr>
          <w:p w:rsidR="006A5D12" w:rsidRPr="00C73C87" w:rsidRDefault="006A5D12" w:rsidP="00101380">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Goal</w:t>
            </w:r>
          </w:p>
        </w:tc>
        <w:tc>
          <w:tcPr>
            <w:tcW w:w="3030" w:type="dxa"/>
            <w:shd w:val="clear" w:color="auto" w:fill="000066"/>
            <w:vAlign w:val="center"/>
          </w:tcPr>
          <w:p w:rsidR="006A5D12" w:rsidRPr="00C73C87" w:rsidRDefault="006A5D12" w:rsidP="00101380">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Continuous Improvement/Performance Measures</w:t>
            </w:r>
          </w:p>
        </w:tc>
        <w:tc>
          <w:tcPr>
            <w:tcW w:w="990" w:type="dxa"/>
            <w:shd w:val="clear" w:color="auto" w:fill="000066"/>
            <w:vAlign w:val="center"/>
          </w:tcPr>
          <w:p w:rsidR="006A5D12" w:rsidRPr="00C73C87" w:rsidRDefault="006A5D12" w:rsidP="00101380">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2015-16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1)</w:t>
            </w:r>
          </w:p>
        </w:tc>
        <w:tc>
          <w:tcPr>
            <w:tcW w:w="967" w:type="dxa"/>
            <w:shd w:val="clear" w:color="auto" w:fill="000066"/>
            <w:vAlign w:val="center"/>
          </w:tcPr>
          <w:p w:rsidR="006A5D12" w:rsidRPr="00C73C87" w:rsidRDefault="006A5D12" w:rsidP="00101380">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2016-17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2)</w:t>
            </w:r>
          </w:p>
        </w:tc>
        <w:tc>
          <w:tcPr>
            <w:tcW w:w="1472" w:type="dxa"/>
            <w:shd w:val="clear" w:color="auto" w:fill="000066"/>
            <w:vAlign w:val="center"/>
          </w:tcPr>
          <w:p w:rsidR="006A5D12" w:rsidRPr="00C73C87" w:rsidRDefault="006A5D12" w:rsidP="00101380">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Improvement / Change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2 –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1)</w:t>
            </w:r>
          </w:p>
        </w:tc>
        <w:tc>
          <w:tcPr>
            <w:tcW w:w="1611" w:type="dxa"/>
            <w:shd w:val="clear" w:color="auto" w:fill="000066"/>
            <w:vAlign w:val="center"/>
          </w:tcPr>
          <w:p w:rsidR="006A5D12" w:rsidRPr="00C73C87" w:rsidRDefault="006A5D12" w:rsidP="00101380">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Benchmark / Performance Target</w:t>
            </w:r>
          </w:p>
        </w:tc>
      </w:tr>
      <w:tr w:rsidR="006A5D12" w:rsidRPr="00C73C87" w:rsidTr="00101380">
        <w:tc>
          <w:tcPr>
            <w:tcW w:w="2550" w:type="dxa"/>
          </w:tcPr>
          <w:p w:rsidR="006A5D12" w:rsidRPr="00C73C87" w:rsidRDefault="006A5D12" w:rsidP="00101380">
            <w:pPr>
              <w:rPr>
                <w:rFonts w:ascii="Arial" w:hAnsi="Arial" w:cs="Arial"/>
                <w:i/>
                <w:sz w:val="19"/>
                <w:szCs w:val="19"/>
              </w:rPr>
            </w:pPr>
            <w:r w:rsidRPr="00C73C87">
              <w:rPr>
                <w:rFonts w:ascii="Arial" w:hAnsi="Arial" w:cs="Arial"/>
                <w:i/>
                <w:sz w:val="19"/>
                <w:szCs w:val="19"/>
              </w:rPr>
              <w:t xml:space="preserve">[Goal Statement - </w:t>
            </w:r>
            <w:r w:rsidRPr="00C73C87">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C73C87">
              <w:rPr>
                <w:rFonts w:ascii="Arial" w:hAnsi="Arial" w:cs="Arial"/>
                <w:i/>
                <w:sz w:val="19"/>
                <w:szCs w:val="19"/>
              </w:rPr>
              <w:t>]</w:t>
            </w:r>
          </w:p>
        </w:tc>
        <w:tc>
          <w:tcPr>
            <w:tcW w:w="3030" w:type="dxa"/>
          </w:tcPr>
          <w:p w:rsidR="006A5D12" w:rsidRPr="00C73C87" w:rsidRDefault="006A5D12" w:rsidP="00101380">
            <w:pPr>
              <w:rPr>
                <w:rFonts w:ascii="Arial" w:hAnsi="Arial" w:cs="Arial"/>
                <w:b/>
                <w:i/>
                <w:sz w:val="19"/>
                <w:szCs w:val="19"/>
              </w:rPr>
            </w:pPr>
            <w:r w:rsidRPr="00C73C87">
              <w:rPr>
                <w:rFonts w:ascii="Arial" w:hAnsi="Arial" w:cs="Arial"/>
                <w:i/>
                <w:sz w:val="19"/>
                <w:szCs w:val="19"/>
              </w:rPr>
              <w:t>[Key performance indications/performance measures of how the performance will be monitored -</w:t>
            </w:r>
            <w:r w:rsidRPr="00C73C87">
              <w:rPr>
                <w:b/>
                <w:i/>
                <w:sz w:val="19"/>
                <w:szCs w:val="19"/>
              </w:rPr>
              <w:t xml:space="preserve"> </w:t>
            </w:r>
            <w:r w:rsidRPr="00C73C87">
              <w:rPr>
                <w:rFonts w:ascii="Arial" w:hAnsi="Arial" w:cs="Arial"/>
                <w:i/>
                <w:sz w:val="19"/>
                <w:szCs w:val="19"/>
              </w:rPr>
              <w:t>Performance measures are a quantifiable assessment of the progress the LEA is making in achieving the goal. Performance measures must be quantifiable indicators of progress.]</w:t>
            </w:r>
          </w:p>
        </w:tc>
        <w:tc>
          <w:tcPr>
            <w:tcW w:w="990" w:type="dxa"/>
          </w:tcPr>
          <w:p w:rsidR="006A5D12" w:rsidRPr="00C73C87" w:rsidRDefault="006A5D12" w:rsidP="00101380">
            <w:pPr>
              <w:contextualSpacing/>
              <w:jc w:val="center"/>
              <w:rPr>
                <w:rFonts w:ascii="Arial" w:hAnsi="Arial" w:cs="Arial"/>
                <w:sz w:val="20"/>
                <w:szCs w:val="20"/>
              </w:rPr>
            </w:pPr>
          </w:p>
        </w:tc>
        <w:tc>
          <w:tcPr>
            <w:tcW w:w="967" w:type="dxa"/>
          </w:tcPr>
          <w:p w:rsidR="006A5D12" w:rsidRPr="00C73C87" w:rsidRDefault="006A5D12" w:rsidP="00101380">
            <w:pPr>
              <w:contextualSpacing/>
              <w:jc w:val="center"/>
              <w:rPr>
                <w:rFonts w:ascii="Arial" w:hAnsi="Arial" w:cs="Arial"/>
                <w:sz w:val="20"/>
                <w:szCs w:val="20"/>
              </w:rPr>
            </w:pPr>
          </w:p>
        </w:tc>
        <w:tc>
          <w:tcPr>
            <w:tcW w:w="1472" w:type="dxa"/>
          </w:tcPr>
          <w:p w:rsidR="006A5D12" w:rsidRPr="00C73C87" w:rsidRDefault="006A5D12" w:rsidP="00101380">
            <w:pPr>
              <w:contextualSpacing/>
              <w:jc w:val="center"/>
              <w:rPr>
                <w:rFonts w:ascii="Arial" w:hAnsi="Arial" w:cs="Arial"/>
                <w:i/>
                <w:sz w:val="19"/>
                <w:szCs w:val="19"/>
              </w:rPr>
            </w:pPr>
            <w:r w:rsidRPr="00C73C87">
              <w:rPr>
                <w:rFonts w:ascii="Arial" w:hAnsi="Arial" w:cs="Arial"/>
                <w:i/>
                <w:sz w:val="19"/>
                <w:szCs w:val="19"/>
              </w:rPr>
              <w:t>[Year over year improvement for those indicators that requirement improvement reporting]</w:t>
            </w:r>
          </w:p>
        </w:tc>
        <w:tc>
          <w:tcPr>
            <w:tcW w:w="1611" w:type="dxa"/>
          </w:tcPr>
          <w:p w:rsidR="006A5D12" w:rsidRPr="00C73C87" w:rsidRDefault="006A5D12" w:rsidP="00101380">
            <w:pPr>
              <w:contextualSpacing/>
              <w:jc w:val="center"/>
              <w:rPr>
                <w:rFonts w:ascii="Arial" w:hAnsi="Arial" w:cs="Arial"/>
                <w:i/>
                <w:sz w:val="19"/>
                <w:szCs w:val="19"/>
              </w:rPr>
            </w:pPr>
            <w:r w:rsidRPr="00C73C87">
              <w:rPr>
                <w:rFonts w:ascii="Arial" w:hAnsi="Arial" w:cs="Arial"/>
                <w:i/>
                <w:sz w:val="19"/>
                <w:szCs w:val="19"/>
              </w:rPr>
              <w:t>[Annual Performance Target set by the LEA]</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All students will be college and career ready</w:t>
            </w: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meeting the college ready benchmark on the college entrance exam (SAT/ACT)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36%</w:t>
            </w:r>
          </w:p>
        </w:tc>
        <w:tc>
          <w:tcPr>
            <w:tcW w:w="1472" w:type="dxa"/>
            <w:vAlign w:val="center"/>
          </w:tcPr>
          <w:p w:rsidR="006A5D12" w:rsidRPr="00C73C87" w:rsidRDefault="006A5D12" w:rsidP="00101380">
            <w:pPr>
              <w:contextualSpacing/>
              <w:rPr>
                <w:rFonts w:ascii="Arial" w:hAnsi="Arial" w:cs="Arial"/>
                <w:sz w:val="20"/>
                <w:szCs w:val="20"/>
              </w:rPr>
            </w:pPr>
            <w:r>
              <w:rPr>
                <w:rFonts w:ascii="Arial" w:hAnsi="Arial" w:cs="Arial"/>
                <w:sz w:val="20"/>
                <w:szCs w:val="20"/>
              </w:rPr>
              <w:t>36</w:t>
            </w:r>
            <w:r w:rsidRPr="00C73C87">
              <w:rPr>
                <w:rFonts w:ascii="Arial" w:hAnsi="Arial" w:cs="Arial"/>
                <w:sz w:val="20"/>
                <w:szCs w:val="20"/>
              </w:rPr>
              <w:t xml:space="preserve"> percentage points</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70</w:t>
            </w:r>
            <w:r w:rsidRPr="00C73C87">
              <w:rPr>
                <w:rFonts w:ascii="Arial" w:hAnsi="Arial" w:cs="Arial"/>
                <w:sz w:val="20"/>
                <w:szCs w:val="20"/>
              </w:rPr>
              <w:t xml:space="preserve">%                             </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 of students meeting the college ready benchmark on </w:t>
            </w:r>
            <w:r w:rsidRPr="00C73C87">
              <w:rPr>
                <w:rFonts w:ascii="Arial" w:hAnsi="Arial" w:cs="Arial"/>
                <w:sz w:val="20"/>
                <w:szCs w:val="20"/>
              </w:rPr>
              <w:lastRenderedPageBreak/>
              <w:t>the college entrance exam (SAT/ACT)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lastRenderedPageBreak/>
              <w:t>0</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4</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4</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w:t>
            </w:r>
            <w:r w:rsidRPr="00C73C87">
              <w:rPr>
                <w:rFonts w:ascii="Arial" w:hAnsi="Arial" w:cs="Arial"/>
                <w:sz w:val="20"/>
                <w:szCs w:val="20"/>
              </w:rPr>
              <w:t xml:space="preserve">               </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participating in one or more advanced opportunity</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10</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14</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w:t>
            </w:r>
            <w:r w:rsidRPr="00C73C87">
              <w:rPr>
                <w:rFonts w:ascii="Arial" w:hAnsi="Arial" w:cs="Arial"/>
                <w:sz w:val="20"/>
                <w:szCs w:val="20"/>
              </w:rPr>
              <w:t xml:space="preserve">5%                        </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career-technical track high school students graduating with an industry recognized certification</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w:t>
            </w:r>
            <w:r w:rsidRPr="00C73C87">
              <w:rPr>
                <w:rFonts w:ascii="Arial" w:hAnsi="Arial" w:cs="Arial"/>
                <w:sz w:val="20"/>
                <w:szCs w:val="20"/>
              </w:rPr>
              <w:t>0%</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career-technical track high school students who passed the CTE-recognized workplace readiness exam</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75</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high school students graduating with an associate’s degree or a career technical certificate</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4-year cohort graduation rate </w:t>
            </w:r>
          </w:p>
        </w:tc>
        <w:tc>
          <w:tcPr>
            <w:tcW w:w="990" w:type="dxa"/>
            <w:vAlign w:val="center"/>
          </w:tcPr>
          <w:p w:rsidR="006A5D12" w:rsidRPr="00EC01A9" w:rsidRDefault="006A5D12" w:rsidP="00101380">
            <w:pPr>
              <w:contextualSpacing/>
              <w:jc w:val="center"/>
              <w:rPr>
                <w:rFonts w:ascii="Arial" w:hAnsi="Arial" w:cs="Arial"/>
                <w:sz w:val="20"/>
                <w:szCs w:val="20"/>
              </w:rPr>
            </w:pPr>
            <w:r w:rsidRPr="00EC01A9">
              <w:rPr>
                <w:rFonts w:ascii="Arial" w:hAnsi="Arial" w:cs="Arial"/>
                <w:sz w:val="20"/>
                <w:szCs w:val="20"/>
              </w:rPr>
              <w:t>85%</w:t>
            </w:r>
          </w:p>
        </w:tc>
        <w:tc>
          <w:tcPr>
            <w:tcW w:w="967" w:type="dxa"/>
            <w:vAlign w:val="center"/>
          </w:tcPr>
          <w:p w:rsidR="006A5D12" w:rsidRPr="00EC01A9" w:rsidRDefault="006A5D12" w:rsidP="00101380">
            <w:pPr>
              <w:contextualSpacing/>
              <w:jc w:val="center"/>
              <w:rPr>
                <w:rFonts w:ascii="Arial" w:hAnsi="Arial" w:cs="Arial"/>
                <w:sz w:val="20"/>
                <w:szCs w:val="20"/>
              </w:rPr>
            </w:pPr>
            <w:r w:rsidRPr="00EC01A9">
              <w:rPr>
                <w:rFonts w:ascii="Arial" w:hAnsi="Arial" w:cs="Arial"/>
                <w:sz w:val="20"/>
                <w:szCs w:val="20"/>
              </w:rPr>
              <w:t>100%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10</w:t>
            </w:r>
            <w:r w:rsidRPr="00C73C87">
              <w:rPr>
                <w:rFonts w:ascii="Arial" w:hAnsi="Arial" w:cs="Arial"/>
                <w:sz w:val="20"/>
                <w:szCs w:val="20"/>
              </w:rPr>
              <w:t>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learning plans review annually in grade 9</w:t>
            </w:r>
          </w:p>
        </w:tc>
        <w:tc>
          <w:tcPr>
            <w:tcW w:w="990"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learning plans review annually in grade 10</w:t>
            </w:r>
          </w:p>
        </w:tc>
        <w:tc>
          <w:tcPr>
            <w:tcW w:w="990"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learning plans review annually in grade 11</w:t>
            </w:r>
          </w:p>
        </w:tc>
        <w:tc>
          <w:tcPr>
            <w:tcW w:w="990"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learning plans review annually in grade 12</w:t>
            </w:r>
          </w:p>
        </w:tc>
        <w:tc>
          <w:tcPr>
            <w:tcW w:w="990"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7</w:t>
            </w:r>
          </w:p>
        </w:tc>
        <w:tc>
          <w:tcPr>
            <w:tcW w:w="967"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2</w:t>
            </w:r>
          </w:p>
        </w:tc>
        <w:tc>
          <w:tcPr>
            <w:tcW w:w="1472" w:type="dxa"/>
            <w:vAlign w:val="center"/>
          </w:tcPr>
          <w:p w:rsidR="006A5D12" w:rsidRPr="00376544" w:rsidRDefault="006A5D12" w:rsidP="00101380">
            <w:pPr>
              <w:contextualSpacing/>
              <w:jc w:val="center"/>
              <w:rPr>
                <w:rFonts w:ascii="Arial" w:hAnsi="Arial" w:cs="Arial"/>
                <w:sz w:val="20"/>
                <w:szCs w:val="20"/>
              </w:rPr>
            </w:pPr>
          </w:p>
        </w:tc>
        <w:tc>
          <w:tcPr>
            <w:tcW w:w="1611"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10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64%</w:t>
            </w:r>
          </w:p>
        </w:tc>
        <w:tc>
          <w:tcPr>
            <w:tcW w:w="967"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29%</w:t>
            </w:r>
          </w:p>
        </w:tc>
        <w:tc>
          <w:tcPr>
            <w:tcW w:w="1472" w:type="dxa"/>
            <w:vAlign w:val="center"/>
          </w:tcPr>
          <w:p w:rsidR="006A5D12" w:rsidRPr="00376544" w:rsidRDefault="006A5D12" w:rsidP="00101380">
            <w:pPr>
              <w:contextualSpacing/>
              <w:jc w:val="center"/>
              <w:rPr>
                <w:rFonts w:ascii="Arial" w:hAnsi="Arial" w:cs="Arial"/>
                <w:sz w:val="20"/>
                <w:szCs w:val="20"/>
              </w:rPr>
            </w:pPr>
          </w:p>
        </w:tc>
        <w:tc>
          <w:tcPr>
            <w:tcW w:w="1611"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80%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3</w:t>
            </w:r>
          </w:p>
        </w:tc>
        <w:tc>
          <w:tcPr>
            <w:tcW w:w="967"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7</w:t>
            </w:r>
          </w:p>
        </w:tc>
        <w:tc>
          <w:tcPr>
            <w:tcW w:w="1472" w:type="dxa"/>
            <w:vAlign w:val="center"/>
          </w:tcPr>
          <w:p w:rsidR="006A5D12" w:rsidRPr="00376544" w:rsidRDefault="006A5D12" w:rsidP="00101380">
            <w:pPr>
              <w:contextualSpacing/>
              <w:jc w:val="center"/>
              <w:rPr>
                <w:rFonts w:ascii="Arial" w:hAnsi="Arial" w:cs="Arial"/>
                <w:sz w:val="20"/>
                <w:szCs w:val="20"/>
              </w:rPr>
            </w:pPr>
          </w:p>
        </w:tc>
        <w:tc>
          <w:tcPr>
            <w:tcW w:w="1611"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10</w:t>
            </w:r>
          </w:p>
        </w:tc>
      </w:tr>
      <w:tr w:rsidR="006A5D12" w:rsidRPr="00C73C87" w:rsidTr="00101380">
        <w:trPr>
          <w:trHeight w:val="350"/>
        </w:trPr>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FAFDF"/>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33%</w:t>
            </w:r>
          </w:p>
        </w:tc>
        <w:tc>
          <w:tcPr>
            <w:tcW w:w="967"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64%</w:t>
            </w:r>
          </w:p>
        </w:tc>
        <w:tc>
          <w:tcPr>
            <w:tcW w:w="1472" w:type="dxa"/>
            <w:vAlign w:val="center"/>
          </w:tcPr>
          <w:p w:rsidR="006A5D12" w:rsidRPr="00376544" w:rsidRDefault="006A5D12" w:rsidP="00101380">
            <w:pPr>
              <w:contextualSpacing/>
              <w:jc w:val="center"/>
              <w:rPr>
                <w:rFonts w:ascii="Arial" w:hAnsi="Arial" w:cs="Arial"/>
                <w:sz w:val="20"/>
                <w:szCs w:val="20"/>
              </w:rPr>
            </w:pPr>
          </w:p>
        </w:tc>
        <w:tc>
          <w:tcPr>
            <w:tcW w:w="1611" w:type="dxa"/>
            <w:vAlign w:val="center"/>
          </w:tcPr>
          <w:p w:rsidR="006A5D12" w:rsidRPr="00376544" w:rsidRDefault="006A5D12" w:rsidP="00101380">
            <w:pPr>
              <w:contextualSpacing/>
              <w:jc w:val="center"/>
              <w:rPr>
                <w:rFonts w:ascii="Arial" w:hAnsi="Arial" w:cs="Arial"/>
                <w:sz w:val="20"/>
                <w:szCs w:val="20"/>
              </w:rPr>
            </w:pPr>
            <w:r w:rsidRPr="00376544">
              <w:rPr>
                <w:rFonts w:ascii="Arial" w:hAnsi="Arial" w:cs="Arial"/>
                <w:sz w:val="20"/>
                <w:szCs w:val="20"/>
              </w:rPr>
              <w:t>80%</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All students will be prepared to transition from middle school / Jr. high to high school</w:t>
            </w: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43</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31</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-12</w:t>
            </w:r>
            <w:r w:rsidRPr="00C73C87">
              <w:rPr>
                <w:rFonts w:ascii="Arial" w:hAnsi="Arial" w:cs="Arial"/>
                <w:sz w:val="20"/>
                <w:szCs w:val="20"/>
              </w:rPr>
              <w:t xml:space="preserve"> percentage point</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75</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14</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71</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56</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-15</w:t>
            </w:r>
            <w:r w:rsidRPr="00C73C87">
              <w:rPr>
                <w:rFonts w:ascii="Arial" w:hAnsi="Arial" w:cs="Arial"/>
                <w:sz w:val="20"/>
                <w:szCs w:val="20"/>
              </w:rPr>
              <w:t xml:space="preserve"> percentage points</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80</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9</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4</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14</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lastRenderedPageBreak/>
              <w:t xml:space="preserve">All students will be prepared to will be prepared to transition from grade 6 to grade 7 </w:t>
            </w: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21</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46</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25</w:t>
            </w:r>
            <w:r w:rsidRPr="00C73C87">
              <w:rPr>
                <w:rFonts w:ascii="Arial" w:hAnsi="Arial" w:cs="Arial"/>
                <w:sz w:val="20"/>
                <w:szCs w:val="20"/>
              </w:rPr>
              <w:t xml:space="preserve"> percentage points</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85</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6</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14</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29</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62</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33</w:t>
            </w:r>
            <w:r w:rsidRPr="00C73C87">
              <w:rPr>
                <w:rFonts w:ascii="Arial" w:hAnsi="Arial" w:cs="Arial"/>
                <w:sz w:val="20"/>
                <w:szCs w:val="20"/>
              </w:rPr>
              <w:t xml:space="preserve"> percentage points</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80</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w:t>
            </w:r>
          </w:p>
        </w:tc>
        <w:tc>
          <w:tcPr>
            <w:tcW w:w="1472"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5</w:t>
            </w: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14</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All students will demonstrate the reading readiness needed to transition to the next grade</w:t>
            </w: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61%</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67%</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 percentage points</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77%</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8</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-2</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7 of 9</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56%</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47%</w:t>
            </w:r>
          </w:p>
        </w:tc>
        <w:tc>
          <w:tcPr>
            <w:tcW w:w="1472" w:type="dxa"/>
            <w:vAlign w:val="center"/>
          </w:tcPr>
          <w:p w:rsidR="006A5D12" w:rsidRPr="00D14629" w:rsidRDefault="006A5D12" w:rsidP="00101380">
            <w:pPr>
              <w:ind w:left="16" w:hanging="15"/>
              <w:contextualSpacing/>
              <w:jc w:val="center"/>
              <w:rPr>
                <w:rFonts w:ascii="Arial" w:hAnsi="Arial" w:cs="Arial"/>
                <w:sz w:val="20"/>
                <w:szCs w:val="20"/>
              </w:rPr>
            </w:pPr>
            <w:r w:rsidRPr="00D14629">
              <w:rPr>
                <w:rFonts w:ascii="Arial" w:hAnsi="Arial" w:cs="Arial"/>
                <w:sz w:val="20"/>
                <w:szCs w:val="20"/>
              </w:rPr>
              <w:t>-9 percentage points</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67%</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7</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2</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10 of 15</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27%</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57%</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30 percentage points</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71%</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4</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4</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 of 7</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71%</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69%</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-2 percentage points</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86%</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shd w:val="clear" w:color="auto" w:fill="BDD6EE" w:themeFill="accent1" w:themeFillTint="66"/>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w:t>
            </w:r>
          </w:p>
        </w:tc>
        <w:tc>
          <w:tcPr>
            <w:tcW w:w="967"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5</w:t>
            </w:r>
          </w:p>
        </w:tc>
        <w:tc>
          <w:tcPr>
            <w:tcW w:w="1472"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w:t>
            </w:r>
          </w:p>
        </w:tc>
        <w:tc>
          <w:tcPr>
            <w:tcW w:w="1611" w:type="dxa"/>
            <w:vAlign w:val="center"/>
          </w:tcPr>
          <w:p w:rsidR="006A5D12" w:rsidRPr="00D14629" w:rsidRDefault="006A5D12" w:rsidP="00101380">
            <w:pPr>
              <w:contextualSpacing/>
              <w:jc w:val="center"/>
              <w:rPr>
                <w:rFonts w:ascii="Arial" w:hAnsi="Arial" w:cs="Arial"/>
                <w:sz w:val="20"/>
                <w:szCs w:val="20"/>
              </w:rPr>
            </w:pPr>
            <w:r w:rsidRPr="00D14629">
              <w:rPr>
                <w:rFonts w:ascii="Arial" w:hAnsi="Arial" w:cs="Arial"/>
                <w:sz w:val="20"/>
                <w:szCs w:val="20"/>
              </w:rPr>
              <w:t>6 of 7</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Increase student and parent engagement at all grade levels through increased attendance </w:t>
            </w: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Student attendance rates as a percentage</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92.3</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84.5</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95</w:t>
            </w:r>
            <w:r w:rsidRPr="00C73C87">
              <w:rPr>
                <w:rFonts w:ascii="Arial" w:hAnsi="Arial" w:cs="Arial"/>
                <w:sz w:val="20"/>
                <w:szCs w:val="20"/>
              </w:rPr>
              <w:t>%</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Parent participation at parent/teacher conferences</w:t>
            </w:r>
          </w:p>
        </w:tc>
        <w:tc>
          <w:tcPr>
            <w:tcW w:w="990" w:type="dxa"/>
            <w:vAlign w:val="center"/>
          </w:tcPr>
          <w:p w:rsidR="006A5D12" w:rsidRPr="00A56B91" w:rsidRDefault="006A5D12" w:rsidP="00101380">
            <w:pPr>
              <w:contextualSpacing/>
              <w:jc w:val="center"/>
              <w:rPr>
                <w:rFonts w:ascii="Arial" w:hAnsi="Arial" w:cs="Arial"/>
                <w:sz w:val="20"/>
                <w:szCs w:val="20"/>
              </w:rPr>
            </w:pPr>
            <w:r w:rsidRPr="00A56B91">
              <w:rPr>
                <w:rFonts w:ascii="Arial" w:hAnsi="Arial" w:cs="Arial"/>
                <w:sz w:val="20"/>
                <w:szCs w:val="20"/>
              </w:rPr>
              <w:t>75%</w:t>
            </w:r>
          </w:p>
        </w:tc>
        <w:tc>
          <w:tcPr>
            <w:tcW w:w="967" w:type="dxa"/>
            <w:vAlign w:val="center"/>
          </w:tcPr>
          <w:p w:rsidR="006A5D12" w:rsidRPr="00A56B91" w:rsidRDefault="006A5D12" w:rsidP="00101380">
            <w:pPr>
              <w:contextualSpacing/>
              <w:jc w:val="center"/>
              <w:rPr>
                <w:rFonts w:ascii="Arial" w:hAnsi="Arial" w:cs="Arial"/>
                <w:sz w:val="20"/>
                <w:szCs w:val="20"/>
              </w:rPr>
            </w:pPr>
            <w:r w:rsidRPr="00A56B91">
              <w:rPr>
                <w:rFonts w:ascii="Arial" w:hAnsi="Arial" w:cs="Arial"/>
                <w:sz w:val="20"/>
                <w:szCs w:val="20"/>
              </w:rPr>
              <w:t>88%</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93%</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Increase teacher engagement</w:t>
            </w: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Number of hours of job embedded professional development</w:t>
            </w:r>
          </w:p>
        </w:tc>
        <w:tc>
          <w:tcPr>
            <w:tcW w:w="990" w:type="dxa"/>
            <w:vAlign w:val="center"/>
          </w:tcPr>
          <w:p w:rsidR="006A5D12" w:rsidRPr="00154C0E" w:rsidRDefault="006A5D12" w:rsidP="00101380">
            <w:pPr>
              <w:contextualSpacing/>
              <w:jc w:val="center"/>
              <w:rPr>
                <w:rFonts w:ascii="Arial" w:hAnsi="Arial" w:cs="Arial"/>
                <w:sz w:val="20"/>
                <w:szCs w:val="20"/>
              </w:rPr>
            </w:pPr>
            <w:r w:rsidRPr="00154C0E">
              <w:rPr>
                <w:rFonts w:ascii="Arial" w:hAnsi="Arial" w:cs="Arial"/>
                <w:sz w:val="20"/>
                <w:szCs w:val="20"/>
              </w:rPr>
              <w:t>17</w:t>
            </w:r>
          </w:p>
        </w:tc>
        <w:tc>
          <w:tcPr>
            <w:tcW w:w="967" w:type="dxa"/>
            <w:vAlign w:val="center"/>
          </w:tcPr>
          <w:p w:rsidR="006A5D12" w:rsidRPr="00154C0E" w:rsidRDefault="006A5D12" w:rsidP="00101380">
            <w:pPr>
              <w:contextualSpacing/>
              <w:jc w:val="center"/>
              <w:rPr>
                <w:rFonts w:ascii="Arial" w:hAnsi="Arial" w:cs="Arial"/>
                <w:sz w:val="20"/>
                <w:szCs w:val="20"/>
              </w:rPr>
            </w:pPr>
            <w:r w:rsidRPr="00154C0E">
              <w:rPr>
                <w:rFonts w:ascii="Arial" w:hAnsi="Arial" w:cs="Arial"/>
                <w:sz w:val="20"/>
                <w:szCs w:val="20"/>
              </w:rPr>
              <w:t>20</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80</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Number of subject level                    multi-grade teacher teams</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3</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Number of hours available for mentor teachers to mentor or observe/team teach</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25</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25</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25</w:t>
            </w:r>
          </w:p>
        </w:tc>
      </w:tr>
      <w:tr w:rsidR="006A5D12" w:rsidRPr="00C73C87" w:rsidTr="00101380">
        <w:tc>
          <w:tcPr>
            <w:tcW w:w="2550" w:type="dxa"/>
            <w:vAlign w:val="center"/>
          </w:tcPr>
          <w:p w:rsidR="006A5D12" w:rsidRPr="00C73C87" w:rsidRDefault="006A5D12" w:rsidP="00101380">
            <w:pPr>
              <w:contextualSpacing/>
              <w:rPr>
                <w:rFonts w:ascii="Arial" w:hAnsi="Arial" w:cs="Arial"/>
                <w:sz w:val="20"/>
                <w:szCs w:val="20"/>
              </w:rPr>
            </w:pPr>
          </w:p>
        </w:tc>
        <w:tc>
          <w:tcPr>
            <w:tcW w:w="3030" w:type="dxa"/>
            <w:vAlign w:val="center"/>
          </w:tcPr>
          <w:p w:rsidR="006A5D12" w:rsidRPr="00C73C87" w:rsidRDefault="006A5D12" w:rsidP="00101380">
            <w:pPr>
              <w:contextualSpacing/>
              <w:rPr>
                <w:rFonts w:ascii="Arial" w:hAnsi="Arial" w:cs="Arial"/>
                <w:sz w:val="20"/>
                <w:szCs w:val="20"/>
              </w:rPr>
            </w:pPr>
            <w:r w:rsidRPr="00C73C87">
              <w:rPr>
                <w:rFonts w:ascii="Arial" w:hAnsi="Arial" w:cs="Arial"/>
                <w:sz w:val="20"/>
                <w:szCs w:val="20"/>
              </w:rPr>
              <w:t xml:space="preserve">% of new teachers (within first 3 years) assigned a mentor / </w:t>
            </w:r>
            <w:r w:rsidRPr="00C73C87">
              <w:rPr>
                <w:rFonts w:ascii="Arial" w:hAnsi="Arial" w:cs="Arial"/>
                <w:sz w:val="20"/>
                <w:szCs w:val="20"/>
              </w:rPr>
              <w:lastRenderedPageBreak/>
              <w:t>participated in district mentor program</w:t>
            </w:r>
          </w:p>
        </w:tc>
        <w:tc>
          <w:tcPr>
            <w:tcW w:w="990"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lastRenderedPageBreak/>
              <w:t>100</w:t>
            </w:r>
            <w:r w:rsidRPr="00C73C87">
              <w:rPr>
                <w:rFonts w:ascii="Arial" w:hAnsi="Arial" w:cs="Arial"/>
                <w:sz w:val="20"/>
                <w:szCs w:val="20"/>
              </w:rPr>
              <w:t>%</w:t>
            </w:r>
          </w:p>
        </w:tc>
        <w:tc>
          <w:tcPr>
            <w:tcW w:w="967" w:type="dxa"/>
            <w:vAlign w:val="center"/>
          </w:tcPr>
          <w:p w:rsidR="006A5D12" w:rsidRPr="00C73C87" w:rsidRDefault="006A5D12" w:rsidP="00101380">
            <w:pPr>
              <w:contextualSpacing/>
              <w:jc w:val="center"/>
              <w:rPr>
                <w:rFonts w:ascii="Arial" w:hAnsi="Arial" w:cs="Arial"/>
                <w:sz w:val="20"/>
                <w:szCs w:val="20"/>
              </w:rPr>
            </w:pPr>
            <w:r>
              <w:rPr>
                <w:rFonts w:ascii="Arial" w:hAnsi="Arial" w:cs="Arial"/>
                <w:sz w:val="20"/>
                <w:szCs w:val="20"/>
              </w:rPr>
              <w:t>100</w:t>
            </w:r>
            <w:r w:rsidRPr="00C73C87">
              <w:rPr>
                <w:rFonts w:ascii="Arial" w:hAnsi="Arial" w:cs="Arial"/>
                <w:sz w:val="20"/>
                <w:szCs w:val="20"/>
              </w:rPr>
              <w:t>%</w:t>
            </w:r>
          </w:p>
        </w:tc>
        <w:tc>
          <w:tcPr>
            <w:tcW w:w="1472" w:type="dxa"/>
            <w:vAlign w:val="center"/>
          </w:tcPr>
          <w:p w:rsidR="006A5D12" w:rsidRPr="00C73C87" w:rsidRDefault="006A5D12" w:rsidP="00101380">
            <w:pPr>
              <w:contextualSpacing/>
              <w:jc w:val="center"/>
              <w:rPr>
                <w:rFonts w:ascii="Arial" w:hAnsi="Arial" w:cs="Arial"/>
                <w:sz w:val="20"/>
                <w:szCs w:val="20"/>
              </w:rPr>
            </w:pPr>
          </w:p>
        </w:tc>
        <w:tc>
          <w:tcPr>
            <w:tcW w:w="1611" w:type="dxa"/>
            <w:vAlign w:val="center"/>
          </w:tcPr>
          <w:p w:rsidR="006A5D12" w:rsidRPr="00C73C87" w:rsidRDefault="006A5D12" w:rsidP="00101380">
            <w:pPr>
              <w:contextualSpacing/>
              <w:jc w:val="center"/>
              <w:rPr>
                <w:rFonts w:ascii="Arial" w:hAnsi="Arial" w:cs="Arial"/>
                <w:sz w:val="20"/>
                <w:szCs w:val="20"/>
              </w:rPr>
            </w:pPr>
            <w:r w:rsidRPr="00C73C87">
              <w:rPr>
                <w:rFonts w:ascii="Arial" w:hAnsi="Arial" w:cs="Arial"/>
                <w:sz w:val="20"/>
                <w:szCs w:val="20"/>
              </w:rPr>
              <w:t>100%</w:t>
            </w:r>
          </w:p>
        </w:tc>
      </w:tr>
    </w:tbl>
    <w:p w:rsidR="006A5D12" w:rsidRPr="00C73C87" w:rsidRDefault="006A5D12" w:rsidP="006A5D12">
      <w:pPr>
        <w:spacing w:after="0" w:line="240" w:lineRule="auto"/>
        <w:rPr>
          <w:rFonts w:ascii="Arial" w:hAnsi="Arial" w:cs="Arial"/>
          <w:i/>
          <w:sz w:val="20"/>
          <w:szCs w:val="20"/>
        </w:rPr>
      </w:pPr>
    </w:p>
    <w:p w:rsidR="006A5D12" w:rsidRPr="00C73C87" w:rsidRDefault="006A5D12" w:rsidP="006A5D12">
      <w:pPr>
        <w:spacing w:after="0" w:line="240" w:lineRule="auto"/>
        <w:rPr>
          <w:rFonts w:ascii="Arial" w:hAnsi="Arial" w:cs="Arial"/>
          <w:b/>
        </w:rPr>
      </w:pPr>
    </w:p>
    <w:p w:rsidR="006A5D12" w:rsidRPr="00C73C87" w:rsidRDefault="006A5D12" w:rsidP="006A5D12">
      <w:pPr>
        <w:spacing w:after="0" w:line="240" w:lineRule="auto"/>
        <w:rPr>
          <w:rFonts w:ascii="Arial" w:hAnsi="Arial" w:cs="Arial"/>
          <w:b/>
        </w:rPr>
      </w:pPr>
      <w:r w:rsidRPr="00C73C87">
        <w:rPr>
          <w:rFonts w:ascii="Arial" w:hAnsi="Arial" w:cs="Arial"/>
          <w:b/>
        </w:rPr>
        <w:t>Analyses of Demographic Data</w:t>
      </w:r>
    </w:p>
    <w:p w:rsidR="006A5D12" w:rsidRPr="00C73C87" w:rsidRDefault="006A5D12" w:rsidP="006A5D12">
      <w:pPr>
        <w:spacing w:after="0" w:line="240" w:lineRule="auto"/>
        <w:rPr>
          <w:rFonts w:ascii="Arial" w:hAnsi="Arial" w:cs="Arial"/>
        </w:rPr>
      </w:pPr>
      <w:r w:rsidRPr="00C73C87">
        <w:rPr>
          <w:rFonts w:ascii="Arial" w:hAnsi="Arial" w:cs="Arial"/>
        </w:rPr>
        <w:t xml:space="preserve">Analyses of demographic data from school district. </w:t>
      </w:r>
    </w:p>
    <w:tbl>
      <w:tblPr>
        <w:tblStyle w:val="TableGrid1"/>
        <w:tblW w:w="5000" w:type="pct"/>
        <w:tblLook w:val="04A0" w:firstRow="1" w:lastRow="0" w:firstColumn="1" w:lastColumn="0" w:noHBand="0" w:noVBand="1"/>
      </w:tblPr>
      <w:tblGrid>
        <w:gridCol w:w="3630"/>
        <w:gridCol w:w="2861"/>
        <w:gridCol w:w="2859"/>
      </w:tblGrid>
      <w:tr w:rsidR="006A5D12" w:rsidRPr="00C73C87" w:rsidTr="00101380">
        <w:tc>
          <w:tcPr>
            <w:tcW w:w="1941" w:type="pct"/>
            <w:shd w:val="clear" w:color="auto" w:fill="5B9BD5" w:themeFill="accent1"/>
          </w:tcPr>
          <w:p w:rsidR="006A5D12" w:rsidRPr="00C73C87" w:rsidRDefault="006A5D12" w:rsidP="00101380">
            <w:pPr>
              <w:rPr>
                <w:rFonts w:ascii="Arial" w:hAnsi="Arial" w:cs="Arial"/>
              </w:rPr>
            </w:pPr>
          </w:p>
        </w:tc>
        <w:tc>
          <w:tcPr>
            <w:tcW w:w="1530" w:type="pct"/>
          </w:tcPr>
          <w:p w:rsidR="006A5D12" w:rsidRPr="00C73C87" w:rsidRDefault="006A5D12" w:rsidP="00101380">
            <w:pPr>
              <w:jc w:val="center"/>
              <w:rPr>
                <w:rFonts w:ascii="Arial" w:hAnsi="Arial" w:cs="Arial"/>
                <w:b/>
              </w:rPr>
            </w:pPr>
            <w:r w:rsidRPr="00C73C87">
              <w:rPr>
                <w:rFonts w:ascii="Arial" w:hAnsi="Arial" w:cs="Arial"/>
                <w:b/>
              </w:rPr>
              <w:t>2016-2017</w:t>
            </w:r>
          </w:p>
        </w:tc>
        <w:tc>
          <w:tcPr>
            <w:tcW w:w="1529" w:type="pct"/>
          </w:tcPr>
          <w:p w:rsidR="006A5D12" w:rsidRPr="00C73C87" w:rsidRDefault="006A5D12" w:rsidP="00101380">
            <w:pPr>
              <w:jc w:val="center"/>
              <w:rPr>
                <w:rFonts w:ascii="Arial" w:hAnsi="Arial" w:cs="Arial"/>
                <w:b/>
              </w:rPr>
            </w:pPr>
            <w:r w:rsidRPr="00C73C87">
              <w:rPr>
                <w:rFonts w:ascii="Arial" w:hAnsi="Arial" w:cs="Arial"/>
                <w:b/>
              </w:rPr>
              <w:t>2017-2018</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Male</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52%</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54%</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Female</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48%</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46%</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White</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86%</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87%</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Black/African American</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0</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1%</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Asian</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1%</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0</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Native American</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2%</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2%</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Hispanic/Latino</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10%</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10%</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Free/Reduced Lunch Program</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64%</w:t>
            </w:r>
          </w:p>
        </w:tc>
        <w:tc>
          <w:tcPr>
            <w:tcW w:w="1529"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60%</w:t>
            </w:r>
          </w:p>
        </w:tc>
      </w:tr>
      <w:tr w:rsidR="006A5D12" w:rsidRPr="00C73C87" w:rsidTr="00101380">
        <w:tc>
          <w:tcPr>
            <w:tcW w:w="1941" w:type="pct"/>
            <w:vAlign w:val="center"/>
          </w:tcPr>
          <w:p w:rsidR="006A5D12" w:rsidRPr="00C73C87" w:rsidRDefault="006A5D12" w:rsidP="00101380">
            <w:pPr>
              <w:rPr>
                <w:rFonts w:ascii="Arial" w:hAnsi="Arial" w:cs="Arial"/>
                <w:sz w:val="21"/>
                <w:szCs w:val="21"/>
              </w:rPr>
            </w:pPr>
            <w:r w:rsidRPr="00C73C87">
              <w:rPr>
                <w:rFonts w:ascii="Arial" w:hAnsi="Arial" w:cs="Arial"/>
                <w:sz w:val="21"/>
                <w:szCs w:val="21"/>
              </w:rPr>
              <w:t>Received Special Education (IEP Students)</w:t>
            </w:r>
          </w:p>
        </w:tc>
        <w:tc>
          <w:tcPr>
            <w:tcW w:w="1530" w:type="pct"/>
            <w:vAlign w:val="center"/>
          </w:tcPr>
          <w:p w:rsidR="006A5D12" w:rsidRPr="00E10ACF" w:rsidRDefault="006A5D12" w:rsidP="00101380">
            <w:pPr>
              <w:jc w:val="center"/>
              <w:rPr>
                <w:rFonts w:ascii="Arial" w:hAnsi="Arial" w:cs="Arial"/>
                <w:sz w:val="21"/>
                <w:szCs w:val="21"/>
              </w:rPr>
            </w:pPr>
            <w:r w:rsidRPr="00E10ACF">
              <w:rPr>
                <w:rFonts w:ascii="Arial" w:hAnsi="Arial" w:cs="Arial"/>
                <w:sz w:val="21"/>
                <w:szCs w:val="21"/>
              </w:rPr>
              <w:t>15.4%</w:t>
            </w:r>
          </w:p>
        </w:tc>
        <w:tc>
          <w:tcPr>
            <w:tcW w:w="1529" w:type="pct"/>
            <w:vAlign w:val="center"/>
          </w:tcPr>
          <w:p w:rsidR="006A5D12" w:rsidRPr="00E10ACF" w:rsidRDefault="006A5D12" w:rsidP="00101380">
            <w:pPr>
              <w:jc w:val="center"/>
              <w:rPr>
                <w:rFonts w:ascii="Arial" w:hAnsi="Arial" w:cs="Arial"/>
                <w:sz w:val="21"/>
                <w:szCs w:val="21"/>
                <w:highlight w:val="green"/>
              </w:rPr>
            </w:pPr>
            <w:r w:rsidRPr="00E10ACF">
              <w:rPr>
                <w:rFonts w:ascii="Arial" w:hAnsi="Arial" w:cs="Arial"/>
                <w:sz w:val="21"/>
                <w:szCs w:val="21"/>
              </w:rPr>
              <w:t>14.8%</w:t>
            </w:r>
          </w:p>
        </w:tc>
      </w:tr>
    </w:tbl>
    <w:p w:rsidR="006A5D12" w:rsidRDefault="006A5D12" w:rsidP="006A5D12"/>
    <w:p w:rsidR="0051536B" w:rsidRDefault="0051536B"/>
    <w:sectPr w:rsidR="0051536B" w:rsidSect="00C7073E">
      <w:footerReference w:type="default" r:id="rId6"/>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281C">
      <w:pPr>
        <w:spacing w:after="0" w:line="240" w:lineRule="auto"/>
      </w:pPr>
      <w:r>
        <w:separator/>
      </w:r>
    </w:p>
  </w:endnote>
  <w:endnote w:type="continuationSeparator" w:id="0">
    <w:p w:rsidR="00000000" w:rsidRDefault="0056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57286"/>
      <w:docPartObj>
        <w:docPartGallery w:val="Page Numbers (Bottom of Page)"/>
        <w:docPartUnique/>
      </w:docPartObj>
    </w:sdtPr>
    <w:sdtEndPr>
      <w:rPr>
        <w:color w:val="7F7F7F" w:themeColor="background1" w:themeShade="7F"/>
        <w:spacing w:val="60"/>
      </w:rPr>
    </w:sdtEndPr>
    <w:sdtContent>
      <w:p w:rsidR="00DC28C0" w:rsidRDefault="00F8795A" w:rsidP="00AB57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281C">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281C">
      <w:pPr>
        <w:spacing w:after="0" w:line="240" w:lineRule="auto"/>
      </w:pPr>
      <w:r>
        <w:separator/>
      </w:r>
    </w:p>
  </w:footnote>
  <w:footnote w:type="continuationSeparator" w:id="0">
    <w:p w:rsidR="00000000" w:rsidRDefault="00562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12"/>
    <w:rsid w:val="0051536B"/>
    <w:rsid w:val="0056281C"/>
    <w:rsid w:val="006A5D12"/>
    <w:rsid w:val="00F8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CF620-9118-42D2-9ACE-E2ABF2C1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12"/>
  </w:style>
  <w:style w:type="table" w:customStyle="1" w:styleId="TableGrid1">
    <w:name w:val="Table Grid1"/>
    <w:basedOn w:val="TableNormal"/>
    <w:next w:val="TableGrid"/>
    <w:uiPriority w:val="39"/>
    <w:rsid w:val="006A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Howard</dc:creator>
  <cp:keywords/>
  <dc:description/>
  <cp:lastModifiedBy>Mike Howard</cp:lastModifiedBy>
  <cp:revision>3</cp:revision>
  <dcterms:created xsi:type="dcterms:W3CDTF">2018-01-19T16:04:00Z</dcterms:created>
  <dcterms:modified xsi:type="dcterms:W3CDTF">2018-01-19T16:23:00Z</dcterms:modified>
</cp:coreProperties>
</file>